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项目支出绩效自评表</w:t>
      </w:r>
    </w:p>
    <w:p>
      <w:pPr>
        <w:spacing w:line="480" w:lineRule="exact"/>
        <w:rPr>
          <w:rFonts w:ascii="仿宋_GB2312" w:hAnsi="宋体" w:eastAsia="仿宋_GB2312"/>
          <w:sz w:val="28"/>
          <w:szCs w:val="28"/>
          <w:highlight w:val="none"/>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highlight w:val="none"/>
        </w:rPr>
        <w:t>（</w:t>
      </w:r>
      <w:r>
        <w:rPr>
          <w:rFonts w:ascii="仿宋_GB2312" w:hAnsi="宋体" w:eastAsia="仿宋_GB2312"/>
          <w:color w:val="000000" w:themeColor="text1"/>
          <w:sz w:val="28"/>
          <w:szCs w:val="28"/>
          <w:highlight w:val="none"/>
          <w14:textFill>
            <w14:solidFill>
              <w14:schemeClr w14:val="tx1"/>
            </w14:solidFill>
          </w14:textFill>
        </w:rPr>
        <w:t>202</w:t>
      </w:r>
      <w:r>
        <w:rPr>
          <w:rFonts w:hint="eastAsia" w:ascii="仿宋_GB2312" w:hAnsi="宋体" w:eastAsia="仿宋_GB2312"/>
          <w:color w:val="000000" w:themeColor="text1"/>
          <w:sz w:val="28"/>
          <w:szCs w:val="28"/>
          <w:highlight w:val="none"/>
          <w14:textFill>
            <w14:solidFill>
              <w14:schemeClr w14:val="tx1"/>
            </w14:solidFill>
          </w14:textFill>
        </w:rPr>
        <w:t>3</w:t>
      </w:r>
      <w:r>
        <w:rPr>
          <w:rFonts w:hint="eastAsia" w:ascii="仿宋_GB2312" w:hAnsi="宋体" w:eastAsia="仿宋_GB2312"/>
          <w:sz w:val="28"/>
          <w:szCs w:val="28"/>
          <w:highlight w:val="none"/>
        </w:rPr>
        <w:t>年度）</w:t>
      </w:r>
    </w:p>
    <w:p>
      <w:pPr>
        <w:spacing w:line="240" w:lineRule="exact"/>
        <w:rPr>
          <w:rFonts w:ascii="仿宋_GB2312" w:hAnsi="宋体" w:eastAsia="仿宋_GB2312"/>
          <w:sz w:val="30"/>
          <w:szCs w:val="30"/>
          <w:highlight w:val="none"/>
        </w:rPr>
      </w:pPr>
    </w:p>
    <w:tbl>
      <w:tblPr>
        <w:tblStyle w:val="5"/>
        <w:tblW w:w="9133" w:type="dxa"/>
        <w:jc w:val="center"/>
        <w:tblLayout w:type="fixed"/>
        <w:tblCellMar>
          <w:top w:w="0" w:type="dxa"/>
          <w:left w:w="108" w:type="dxa"/>
          <w:bottom w:w="0" w:type="dxa"/>
          <w:right w:w="108" w:type="dxa"/>
        </w:tblCellMar>
      </w:tblPr>
      <w:tblGrid>
        <w:gridCol w:w="585"/>
        <w:gridCol w:w="630"/>
        <w:gridCol w:w="1118"/>
        <w:gridCol w:w="1059"/>
        <w:gridCol w:w="1127"/>
        <w:gridCol w:w="597"/>
        <w:gridCol w:w="727"/>
        <w:gridCol w:w="742"/>
        <w:gridCol w:w="329"/>
        <w:gridCol w:w="568"/>
        <w:gridCol w:w="888"/>
        <w:gridCol w:w="763"/>
      </w:tblGrid>
      <w:tr>
        <w:tblPrEx>
          <w:tblCellMar>
            <w:top w:w="0" w:type="dxa"/>
            <w:left w:w="108" w:type="dxa"/>
            <w:bottom w:w="0" w:type="dxa"/>
            <w:right w:w="108" w:type="dxa"/>
          </w:tblCellMar>
        </w:tblPrEx>
        <w:trPr>
          <w:trHeight w:val="306" w:hRule="exact"/>
          <w:jc w:val="center"/>
        </w:trPr>
        <w:tc>
          <w:tcPr>
            <w:tcW w:w="12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项目名称</w:t>
            </w:r>
          </w:p>
        </w:tc>
        <w:tc>
          <w:tcPr>
            <w:tcW w:w="7918"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地震灾害风险防治与快速评估能力提升项目</w:t>
            </w:r>
          </w:p>
        </w:tc>
      </w:tr>
      <w:tr>
        <w:tblPrEx>
          <w:tblCellMar>
            <w:top w:w="0" w:type="dxa"/>
            <w:left w:w="108" w:type="dxa"/>
            <w:bottom w:w="0" w:type="dxa"/>
            <w:right w:w="108" w:type="dxa"/>
          </w:tblCellMar>
        </w:tblPrEx>
        <w:trPr>
          <w:trHeight w:val="630" w:hRule="exact"/>
          <w:jc w:val="center"/>
        </w:trPr>
        <w:tc>
          <w:tcPr>
            <w:tcW w:w="12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主管部门</w:t>
            </w:r>
          </w:p>
        </w:tc>
        <w:tc>
          <w:tcPr>
            <w:tcW w:w="462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color w:val="000000" w:themeColor="text1"/>
                <w:kern w:val="0"/>
                <w:szCs w:val="21"/>
                <w:highlight w:val="none"/>
                <w14:textFill>
                  <w14:solidFill>
                    <w14:schemeClr w14:val="tx1"/>
                  </w14:solidFill>
                </w14:textFill>
              </w:rPr>
              <w:t>北京市地震局</w:t>
            </w:r>
          </w:p>
        </w:tc>
        <w:tc>
          <w:tcPr>
            <w:tcW w:w="107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实施单位</w:t>
            </w:r>
          </w:p>
        </w:tc>
        <w:tc>
          <w:tcPr>
            <w:tcW w:w="2219"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color w:val="000000" w:themeColor="text1"/>
                <w:kern w:val="0"/>
                <w:szCs w:val="21"/>
                <w:highlight w:val="none"/>
                <w14:textFill>
                  <w14:solidFill>
                    <w14:schemeClr w14:val="tx1"/>
                  </w14:solidFill>
                </w14:textFill>
              </w:rPr>
              <w:t>北京市地震局</w:t>
            </w:r>
          </w:p>
        </w:tc>
      </w:tr>
      <w:tr>
        <w:tblPrEx>
          <w:tblCellMar>
            <w:top w:w="0" w:type="dxa"/>
            <w:left w:w="108" w:type="dxa"/>
            <w:bottom w:w="0" w:type="dxa"/>
            <w:right w:w="108" w:type="dxa"/>
          </w:tblCellMar>
        </w:tblPrEx>
        <w:trPr>
          <w:trHeight w:val="554" w:hRule="exact"/>
          <w:jc w:val="center"/>
        </w:trPr>
        <w:tc>
          <w:tcPr>
            <w:tcW w:w="1215"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项目负责人</w:t>
            </w:r>
          </w:p>
        </w:tc>
        <w:tc>
          <w:tcPr>
            <w:tcW w:w="462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color w:val="000000" w:themeColor="text1"/>
                <w:kern w:val="0"/>
                <w:szCs w:val="21"/>
                <w:highlight w:val="none"/>
                <w14:textFill>
                  <w14:solidFill>
                    <w14:schemeClr w14:val="tx1"/>
                  </w14:solidFill>
                </w14:textFill>
              </w:rPr>
              <w:t>谭庆全</w:t>
            </w:r>
          </w:p>
        </w:tc>
        <w:tc>
          <w:tcPr>
            <w:tcW w:w="107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联系电话</w:t>
            </w:r>
          </w:p>
        </w:tc>
        <w:tc>
          <w:tcPr>
            <w:tcW w:w="2219"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color w:val="000000" w:themeColor="text1"/>
                <w:kern w:val="0"/>
                <w:szCs w:val="21"/>
                <w14:textFill>
                  <w14:solidFill>
                    <w14:schemeClr w14:val="tx1"/>
                  </w14:solidFill>
                </w14:textFill>
              </w:rPr>
              <w:t>8301</w:t>
            </w:r>
            <w:r>
              <w:rPr>
                <w:rFonts w:hint="eastAsia" w:ascii="仿宋_GB2312" w:hAnsi="宋体" w:eastAsia="仿宋_GB2312" w:cs="宋体"/>
                <w:kern w:val="0"/>
                <w:szCs w:val="21"/>
                <w:highlight w:val="none"/>
              </w:rPr>
              <w:t>2213</w:t>
            </w:r>
          </w:p>
        </w:tc>
      </w:tr>
      <w:tr>
        <w:tblPrEx>
          <w:tblCellMar>
            <w:top w:w="0" w:type="dxa"/>
            <w:left w:w="108" w:type="dxa"/>
            <w:bottom w:w="0" w:type="dxa"/>
            <w:right w:w="108" w:type="dxa"/>
          </w:tblCellMar>
        </w:tblPrEx>
        <w:trPr>
          <w:trHeight w:val="567" w:hRule="exact"/>
          <w:jc w:val="center"/>
        </w:trPr>
        <w:tc>
          <w:tcPr>
            <w:tcW w:w="121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项目资金</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（万元）</w:t>
            </w:r>
          </w:p>
        </w:tc>
        <w:tc>
          <w:tcPr>
            <w:tcW w:w="2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年初预</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算数</w:t>
            </w:r>
          </w:p>
        </w:tc>
        <w:tc>
          <w:tcPr>
            <w:tcW w:w="132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全年预</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算数</w:t>
            </w:r>
          </w:p>
        </w:tc>
        <w:tc>
          <w:tcPr>
            <w:tcW w:w="107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全年</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执行数</w:t>
            </w:r>
          </w:p>
        </w:tc>
        <w:tc>
          <w:tcPr>
            <w:tcW w:w="5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分值</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执行率</w:t>
            </w:r>
          </w:p>
        </w:tc>
        <w:tc>
          <w:tcPr>
            <w:tcW w:w="76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得分</w:t>
            </w:r>
          </w:p>
        </w:tc>
      </w:tr>
      <w:tr>
        <w:tblPrEx>
          <w:tblCellMar>
            <w:top w:w="0" w:type="dxa"/>
            <w:left w:w="108" w:type="dxa"/>
            <w:bottom w:w="0" w:type="dxa"/>
            <w:right w:w="108" w:type="dxa"/>
          </w:tblCellMar>
        </w:tblPrEx>
        <w:trPr>
          <w:trHeight w:val="448" w:hRule="exact"/>
          <w:jc w:val="center"/>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7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color w:val="000000" w:themeColor="text1"/>
                <w:kern w:val="0"/>
                <w:szCs w:val="21"/>
                <w:highlight w:val="none"/>
                <w14:textFill>
                  <w14:solidFill>
                    <w14:schemeClr w14:val="tx1"/>
                  </w14:solidFill>
                </w14:textFill>
              </w:rPr>
              <w:t>75.1322</w:t>
            </w:r>
          </w:p>
        </w:tc>
        <w:tc>
          <w:tcPr>
            <w:tcW w:w="132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75.1322</w:t>
            </w:r>
          </w:p>
        </w:tc>
        <w:tc>
          <w:tcPr>
            <w:tcW w:w="107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75.1191</w:t>
            </w:r>
          </w:p>
        </w:tc>
        <w:tc>
          <w:tcPr>
            <w:tcW w:w="5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10</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rPr>
              <w:t>99.98</w:t>
            </w:r>
            <w:r>
              <w:rPr>
                <w:rFonts w:hint="eastAsia" w:ascii="仿宋_GB2312" w:hAnsi="宋体" w:eastAsia="仿宋_GB2312" w:cs="宋体"/>
                <w:kern w:val="0"/>
                <w:szCs w:val="21"/>
                <w:highlight w:val="none"/>
                <w:lang w:val="en-US" w:eastAsia="zh-CN"/>
              </w:rPr>
              <w:t>%</w:t>
            </w:r>
          </w:p>
        </w:tc>
        <w:tc>
          <w:tcPr>
            <w:tcW w:w="763"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lang w:val="en-US" w:eastAsia="zh-CN"/>
              </w:rPr>
              <w:t>10</w:t>
            </w:r>
          </w:p>
        </w:tc>
      </w:tr>
      <w:tr>
        <w:tblPrEx>
          <w:tblCellMar>
            <w:top w:w="0" w:type="dxa"/>
            <w:left w:w="108" w:type="dxa"/>
            <w:bottom w:w="0" w:type="dxa"/>
            <w:right w:w="108" w:type="dxa"/>
          </w:tblCellMar>
        </w:tblPrEx>
        <w:trPr>
          <w:trHeight w:val="425" w:hRule="exact"/>
          <w:jc w:val="center"/>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77"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其中：当年财政拨款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r>
              <w:rPr>
                <w:rFonts w:hint="eastAsia" w:ascii="仿宋_GB2312" w:hAnsi="宋体" w:eastAsia="仿宋_GB2312" w:cs="宋体"/>
                <w:color w:val="000000" w:themeColor="text1"/>
                <w:kern w:val="0"/>
                <w:szCs w:val="21"/>
                <w:highlight w:val="none"/>
                <w14:textFill>
                  <w14:solidFill>
                    <w14:schemeClr w14:val="tx1"/>
                  </w14:solidFill>
                </w14:textFill>
              </w:rPr>
              <w:t>75.1322</w:t>
            </w:r>
          </w:p>
        </w:tc>
        <w:tc>
          <w:tcPr>
            <w:tcW w:w="132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75.1322</w:t>
            </w:r>
          </w:p>
        </w:tc>
        <w:tc>
          <w:tcPr>
            <w:tcW w:w="107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highlight w:val="none"/>
              </w:rPr>
              <w:t>75.1191</w:t>
            </w:r>
          </w:p>
        </w:tc>
        <w:tc>
          <w:tcPr>
            <w:tcW w:w="5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ascii="仿宋_GB2312" w:hAnsi="宋体" w:eastAsia="仿宋_GB2312" w:cs="宋体"/>
                <w:kern w:val="0"/>
                <w:szCs w:val="21"/>
                <w:highlight w:val="none"/>
              </w:rPr>
              <w:t>-</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lang w:val="en-US" w:eastAsia="zh-CN"/>
              </w:rPr>
            </w:pPr>
            <w:r>
              <w:rPr>
                <w:rFonts w:hint="eastAsia" w:ascii="仿宋_GB2312" w:hAnsi="宋体" w:eastAsia="仿宋_GB2312" w:cs="宋体"/>
                <w:kern w:val="0"/>
                <w:szCs w:val="21"/>
                <w:highlight w:val="none"/>
              </w:rPr>
              <w:t>99.98</w:t>
            </w:r>
            <w:r>
              <w:rPr>
                <w:rFonts w:hint="eastAsia" w:ascii="仿宋_GB2312" w:hAnsi="宋体" w:eastAsia="仿宋_GB2312" w:cs="宋体"/>
                <w:kern w:val="0"/>
                <w:szCs w:val="21"/>
                <w:highlight w:val="none"/>
                <w:lang w:val="en-US" w:eastAsia="zh-CN"/>
              </w:rPr>
              <w:t>%</w:t>
            </w:r>
          </w:p>
        </w:tc>
        <w:tc>
          <w:tcPr>
            <w:tcW w:w="76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ascii="仿宋_GB2312" w:hAnsi="宋体" w:eastAsia="仿宋_GB2312" w:cs="宋体"/>
                <w:kern w:val="0"/>
                <w:szCs w:val="21"/>
                <w:highlight w:val="none"/>
              </w:rPr>
              <w:t>-</w:t>
            </w:r>
          </w:p>
        </w:tc>
      </w:tr>
      <w:tr>
        <w:tblPrEx>
          <w:tblCellMar>
            <w:top w:w="0" w:type="dxa"/>
            <w:left w:w="108" w:type="dxa"/>
            <w:bottom w:w="0" w:type="dxa"/>
            <w:right w:w="108" w:type="dxa"/>
          </w:tblCellMar>
        </w:tblPrEx>
        <w:trPr>
          <w:trHeight w:val="425" w:hRule="exact"/>
          <w:jc w:val="center"/>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r>
              <w:rPr>
                <w:rFonts w:hint="eastAsia" w:ascii="仿宋_GB2312" w:hAnsi="宋体" w:eastAsia="仿宋_GB2312" w:cs="宋体"/>
                <w:kern w:val="0"/>
                <w:szCs w:val="21"/>
              </w:rPr>
              <w:t>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themeColor="text1"/>
                <w:kern w:val="0"/>
                <w:szCs w:val="21"/>
                <w:highlight w:val="none"/>
                <w14:textFill>
                  <w14:solidFill>
                    <w14:schemeClr w14:val="tx1"/>
                  </w14:solidFill>
                </w14:textFill>
              </w:rPr>
            </w:pPr>
          </w:p>
        </w:tc>
        <w:tc>
          <w:tcPr>
            <w:tcW w:w="132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p>
        </w:tc>
        <w:tc>
          <w:tcPr>
            <w:tcW w:w="107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p>
        </w:tc>
        <w:tc>
          <w:tcPr>
            <w:tcW w:w="5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rPr>
              <w:t>—</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Cs w:val="21"/>
                <w:highlight w:val="none"/>
              </w:rPr>
            </w:pPr>
          </w:p>
        </w:tc>
        <w:tc>
          <w:tcPr>
            <w:tcW w:w="76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425" w:hRule="exact"/>
          <w:jc w:val="center"/>
        </w:trPr>
        <w:tc>
          <w:tcPr>
            <w:tcW w:w="12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32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071"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568"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rPr>
              <w:t>—</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763"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年度总体目标</w:t>
            </w:r>
          </w:p>
        </w:tc>
        <w:tc>
          <w:tcPr>
            <w:tcW w:w="525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预期目标</w:t>
            </w:r>
          </w:p>
        </w:tc>
        <w:tc>
          <w:tcPr>
            <w:tcW w:w="329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实际完成情况</w:t>
            </w:r>
          </w:p>
        </w:tc>
      </w:tr>
      <w:tr>
        <w:tblPrEx>
          <w:tblCellMar>
            <w:top w:w="0" w:type="dxa"/>
            <w:left w:w="108" w:type="dxa"/>
            <w:bottom w:w="0" w:type="dxa"/>
            <w:right w:w="108" w:type="dxa"/>
          </w:tblCellMar>
        </w:tblPrEx>
        <w:trPr>
          <w:trHeight w:val="278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5258"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针对当前地震灾害风险防范和快速评估能力有差距的现状，本项目拟对典型地震断裂开展详查工作并进行地震灾害快速评估计算模型和方法的构建，具体包括程各庄断裂和延矾盆地北缘断裂的详查工作、基于自然街区的北京市海淀区震害损失评估、面向市区两级联动的地震灾害快速评估计算。项目建设成果将有效加强和提升地震灾害风险防范和地震灾害损失快速评估能力，对于保障首都经济社会稳定运行具有重要的现实应用意义。</w:t>
            </w:r>
          </w:p>
        </w:tc>
        <w:tc>
          <w:tcPr>
            <w:tcW w:w="3290"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初制定了详细的项目执行方案，分解为4个子项执行，包括：（1）程各庄断裂详查子项、（2）延矾盆地北缘断裂详查子项、（3）基于自然街区的北京市海淀区震害损失评估子项、（4）面向市区两级联动的地震灾害快速评估系统研发子项。所有子项均按预期目标完成任务，对于提升地震灾害风险防范和地震灾害损失快速评估能力发挥了应有作用。</w:t>
            </w:r>
          </w:p>
        </w:tc>
      </w:tr>
      <w:tr>
        <w:tblPrEx>
          <w:tblCellMar>
            <w:top w:w="0" w:type="dxa"/>
            <w:left w:w="108" w:type="dxa"/>
            <w:bottom w:w="0" w:type="dxa"/>
            <w:right w:w="108" w:type="dxa"/>
          </w:tblCellMar>
        </w:tblPrEx>
        <w:trPr>
          <w:trHeight w:val="766"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绩</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效</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指</w:t>
            </w:r>
            <w:r>
              <w:rPr>
                <w:rFonts w:hint="eastAsia" w:ascii="仿宋_GB2312" w:hAnsi="宋体" w:eastAsia="仿宋_GB2312" w:cs="宋体"/>
                <w:kern w:val="0"/>
                <w:szCs w:val="21"/>
                <w:highlight w:val="none"/>
              </w:rPr>
              <w:br w:type="textWrapping"/>
            </w:r>
            <w:r>
              <w:rPr>
                <w:rFonts w:hint="eastAsia" w:ascii="仿宋_GB2312" w:hAnsi="宋体" w:eastAsia="仿宋_GB2312" w:cs="宋体"/>
                <w:kern w:val="0"/>
                <w:szCs w:val="21"/>
                <w:highlight w:val="none"/>
              </w:rPr>
              <w:t>标</w:t>
            </w:r>
          </w:p>
        </w:tc>
        <w:tc>
          <w:tcPr>
            <w:tcW w:w="63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一级指标</w:t>
            </w:r>
          </w:p>
        </w:tc>
        <w:tc>
          <w:tcPr>
            <w:tcW w:w="111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二级指标</w:t>
            </w: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三级指标</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（按照绩效目标表里的绩效指标进行填写）</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年度</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指标值</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实际</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完成值</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分值</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得分</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偏差原因分析及改进</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措施</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产出指标（50分）</w:t>
            </w:r>
          </w:p>
        </w:tc>
        <w:tc>
          <w:tcPr>
            <w:tcW w:w="1118"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数量指标</w:t>
            </w: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断裂探测成果数据</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2套</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2套</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45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18"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市区两级联动快速评估模型</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1套</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1套</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29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18"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学术论文或技术报告</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4篇</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8篇</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41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1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海淀区自然街区评估数据</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1套</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1套</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43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时效指标</w:t>
            </w: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完成评估模型集成应用</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10月</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10月</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8</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65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成本指标</w:t>
            </w: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成本预算</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 w:val="13"/>
                <w:szCs w:val="13"/>
                <w:highlight w:val="none"/>
              </w:rPr>
            </w:pPr>
            <w:r>
              <w:rPr>
                <w:rFonts w:hint="eastAsia" w:ascii="仿宋_GB2312" w:hAnsi="宋体" w:eastAsia="仿宋_GB2312" w:cs="宋体"/>
                <w:color w:val="000000"/>
                <w:kern w:val="0"/>
                <w:sz w:val="13"/>
                <w:szCs w:val="13"/>
                <w:highlight w:val="none"/>
              </w:rPr>
              <w:t>≤75.1322万</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 w:val="13"/>
                <w:szCs w:val="13"/>
                <w:highlight w:val="none"/>
              </w:rPr>
            </w:pPr>
            <w:r>
              <w:rPr>
                <w:rFonts w:hint="eastAsia" w:ascii="仿宋_GB2312" w:hAnsi="宋体" w:eastAsia="仿宋_GB2312" w:cs="宋体"/>
                <w:color w:val="000000"/>
                <w:kern w:val="0"/>
                <w:sz w:val="13"/>
                <w:szCs w:val="13"/>
                <w:highlight w:val="none"/>
              </w:rPr>
              <w:t>75.1191万</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63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效益指标（30分）</w:t>
            </w:r>
          </w:p>
          <w:p>
            <w:pPr>
              <w:widowControl/>
              <w:spacing w:line="240" w:lineRule="exact"/>
              <w:jc w:val="center"/>
              <w:rPr>
                <w:rFonts w:ascii="仿宋_GB2312" w:hAnsi="宋体" w:eastAsia="仿宋_GB2312" w:cs="宋体"/>
                <w:kern w:val="0"/>
                <w:szCs w:val="21"/>
                <w:highlight w:val="none"/>
              </w:rPr>
            </w:pPr>
          </w:p>
        </w:tc>
        <w:tc>
          <w:tcPr>
            <w:tcW w:w="111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社会效益</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w:t>
            </w: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对于提高地震应急处置能力效果</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明显</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明显</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15</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14</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57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11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对于提高地震灾害风险防范能力效果</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明显</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明显</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15</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14</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bookmarkStart w:id="0" w:name="_GoBack"/>
            <w:bookmarkEnd w:id="0"/>
          </w:p>
        </w:tc>
      </w:tr>
      <w:tr>
        <w:tblPrEx>
          <w:tblCellMar>
            <w:top w:w="0" w:type="dxa"/>
            <w:left w:w="108" w:type="dxa"/>
            <w:bottom w:w="0" w:type="dxa"/>
            <w:right w:w="108" w:type="dxa"/>
          </w:tblCellMar>
        </w:tblPrEx>
        <w:trPr>
          <w:trHeight w:val="513"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满意度</w:t>
            </w:r>
          </w:p>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指标（1</w:t>
            </w:r>
            <w:r>
              <w:rPr>
                <w:rFonts w:ascii="仿宋_GB2312" w:hAnsi="宋体" w:eastAsia="仿宋_GB2312" w:cs="宋体"/>
                <w:kern w:val="0"/>
                <w:szCs w:val="21"/>
                <w:highlight w:val="none"/>
              </w:rPr>
              <w:t>0</w:t>
            </w:r>
            <w:r>
              <w:rPr>
                <w:rFonts w:hint="eastAsia" w:ascii="仿宋_GB2312" w:hAnsi="宋体" w:eastAsia="仿宋_GB2312" w:cs="宋体"/>
                <w:kern w:val="0"/>
                <w:szCs w:val="21"/>
                <w:highlight w:val="none"/>
              </w:rPr>
              <w:t>分）</w:t>
            </w: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highlight w:val="none"/>
              </w:rPr>
            </w:pPr>
            <w:r>
              <w:rPr>
                <w:rFonts w:hint="eastAsia" w:ascii="仿宋_GB2312" w:hAnsi="宋体" w:eastAsia="仿宋_GB2312" w:cs="宋体"/>
                <w:kern w:val="0"/>
                <w:szCs w:val="21"/>
                <w:highlight w:val="none"/>
              </w:rPr>
              <w:t>服务对象满意度标</w:t>
            </w:r>
          </w:p>
        </w:tc>
        <w:tc>
          <w:tcPr>
            <w:tcW w:w="2783"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用户对成果使用满意度</w:t>
            </w:r>
          </w:p>
        </w:tc>
        <w:tc>
          <w:tcPr>
            <w:tcW w:w="727"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≥90%</w:t>
            </w:r>
          </w:p>
        </w:tc>
        <w:tc>
          <w:tcPr>
            <w:tcW w:w="742"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right"/>
              <w:rPr>
                <w:rFonts w:hint="eastAsia"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r>
        <w:tblPrEx>
          <w:tblCellMar>
            <w:top w:w="0" w:type="dxa"/>
            <w:left w:w="108" w:type="dxa"/>
            <w:bottom w:w="0" w:type="dxa"/>
            <w:right w:w="108" w:type="dxa"/>
          </w:tblCellMar>
        </w:tblPrEx>
        <w:trPr>
          <w:trHeight w:val="477" w:hRule="exact"/>
          <w:jc w:val="center"/>
        </w:trPr>
        <w:tc>
          <w:tcPr>
            <w:tcW w:w="6585"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both"/>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总分</w:t>
            </w:r>
          </w:p>
        </w:tc>
        <w:tc>
          <w:tcPr>
            <w:tcW w:w="897"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color w:val="000000"/>
                <w:kern w:val="0"/>
                <w:szCs w:val="21"/>
                <w:highlight w:val="none"/>
              </w:rPr>
            </w:pPr>
            <w:r>
              <w:rPr>
                <w:rFonts w:hint="eastAsia" w:ascii="仿宋_GB2312" w:hAnsi="宋体" w:eastAsia="仿宋_GB2312" w:cs="宋体"/>
                <w:color w:val="000000"/>
                <w:kern w:val="0"/>
                <w:szCs w:val="21"/>
                <w:highlight w:val="none"/>
              </w:rPr>
              <w:t>100</w:t>
            </w:r>
          </w:p>
        </w:tc>
        <w:tc>
          <w:tcPr>
            <w:tcW w:w="888" w:type="dxa"/>
            <w:tcBorders>
              <w:top w:val="single" w:color="auto" w:sz="4" w:space="0"/>
              <w:left w:val="nil"/>
              <w:bottom w:val="single" w:color="auto" w:sz="4" w:space="0"/>
              <w:right w:val="single" w:color="auto" w:sz="4" w:space="0"/>
            </w:tcBorders>
            <w:vAlign w:val="center"/>
          </w:tcPr>
          <w:p>
            <w:pPr>
              <w:widowControl/>
              <w:spacing w:line="240" w:lineRule="exact"/>
              <w:jc w:val="both"/>
              <w:rPr>
                <w:rFonts w:hint="default" w:ascii="仿宋_GB2312" w:hAnsi="宋体" w:eastAsia="仿宋_GB2312" w:cs="宋体"/>
                <w:color w:val="000000"/>
                <w:kern w:val="0"/>
                <w:szCs w:val="21"/>
                <w:highlight w:val="none"/>
                <w:lang w:val="en-US" w:eastAsia="zh-CN"/>
              </w:rPr>
            </w:pPr>
            <w:r>
              <w:rPr>
                <w:rFonts w:hint="eastAsia" w:ascii="仿宋_GB2312" w:hAnsi="宋体" w:eastAsia="仿宋_GB2312" w:cs="宋体"/>
                <w:color w:val="000000"/>
                <w:kern w:val="0"/>
                <w:szCs w:val="21"/>
                <w:highlight w:val="none"/>
              </w:rPr>
              <w:t>9</w:t>
            </w:r>
            <w:r>
              <w:rPr>
                <w:rFonts w:hint="eastAsia" w:ascii="仿宋_GB2312" w:hAnsi="宋体" w:eastAsia="仿宋_GB2312" w:cs="宋体"/>
                <w:color w:val="000000"/>
                <w:kern w:val="0"/>
                <w:szCs w:val="21"/>
                <w:highlight w:val="none"/>
                <w:lang w:val="en-US" w:eastAsia="zh-CN"/>
              </w:rPr>
              <w:t>8</w:t>
            </w:r>
            <w:r>
              <w:rPr>
                <w:rFonts w:hint="eastAsia" w:ascii="仿宋_GB2312" w:hAnsi="宋体" w:eastAsia="仿宋_GB2312" w:cs="宋体"/>
                <w:color w:val="000000"/>
                <w:kern w:val="0"/>
                <w:szCs w:val="21"/>
                <w:highlight w:val="none"/>
              </w:rPr>
              <w:t>.</w:t>
            </w:r>
            <w:r>
              <w:rPr>
                <w:rFonts w:hint="eastAsia" w:ascii="仿宋_GB2312" w:hAnsi="宋体" w:eastAsia="仿宋_GB2312" w:cs="宋体"/>
                <w:color w:val="000000"/>
                <w:kern w:val="0"/>
                <w:szCs w:val="21"/>
                <w:highlight w:val="none"/>
                <w:lang w:val="en-US" w:eastAsia="zh-CN"/>
              </w:rPr>
              <w:t>00</w:t>
            </w:r>
          </w:p>
        </w:tc>
        <w:tc>
          <w:tcPr>
            <w:tcW w:w="763" w:type="dxa"/>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_GB2312" w:hAnsi="宋体" w:eastAsia="仿宋_GB2312" w:cs="宋体"/>
                <w:kern w:val="0"/>
                <w:szCs w:val="21"/>
                <w:highlight w:val="none"/>
              </w:rPr>
            </w:pPr>
          </w:p>
        </w:tc>
      </w:tr>
    </w:tbl>
    <w:p>
      <w:pPr>
        <w:spacing w:line="520" w:lineRule="exact"/>
      </w:pP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kNTA1ODJlNDZlZmFmY2RjYWExMjlhZTI4YjYwZWUifQ=="/>
    <w:docVar w:name="KSO_WPS_MARK_KEY" w:val="27f4e564-5201-47a7-93a1-375f76c44ede"/>
  </w:docVars>
  <w:rsids>
    <w:rsidRoot w:val="F77F09F4"/>
    <w:rsid w:val="000D5582"/>
    <w:rsid w:val="000F11BD"/>
    <w:rsid w:val="00217B96"/>
    <w:rsid w:val="00377EB9"/>
    <w:rsid w:val="004D5957"/>
    <w:rsid w:val="009168D7"/>
    <w:rsid w:val="00A23C98"/>
    <w:rsid w:val="00DD53FE"/>
    <w:rsid w:val="00E26DAB"/>
    <w:rsid w:val="181F1796"/>
    <w:rsid w:val="1D1519A8"/>
    <w:rsid w:val="22547340"/>
    <w:rsid w:val="2C5B2035"/>
    <w:rsid w:val="37173543"/>
    <w:rsid w:val="3FF76880"/>
    <w:rsid w:val="45C0345E"/>
    <w:rsid w:val="4E736404"/>
    <w:rsid w:val="4F35156B"/>
    <w:rsid w:val="56F02C50"/>
    <w:rsid w:val="5EE46B35"/>
    <w:rsid w:val="73423950"/>
    <w:rsid w:val="78063879"/>
    <w:rsid w:val="7AB7FF50"/>
    <w:rsid w:val="7BFEB0DB"/>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99"/>
    <w:pPr>
      <w:tabs>
        <w:tab w:val="center" w:pos="4153"/>
        <w:tab w:val="right" w:pos="8306"/>
      </w:tabs>
      <w:snapToGrid w:val="0"/>
      <w:jc w:val="left"/>
    </w:pPr>
    <w:rPr>
      <w:sz w:val="18"/>
      <w:szCs w:val="20"/>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列出段落1"/>
    <w:basedOn w:val="1"/>
    <w:autoRedefine/>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Ty</Company>
  <Pages>2</Pages>
  <Words>778</Words>
  <Characters>863</Characters>
  <Lines>9</Lines>
  <Paragraphs>2</Paragraphs>
  <TotalTime>0</TotalTime>
  <ScaleCrop>false</ScaleCrop>
  <LinksUpToDate>false</LinksUpToDate>
  <CharactersWithSpaces>888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user</dc:creator>
  <cp:lastModifiedBy>abc</cp:lastModifiedBy>
  <dcterms:modified xsi:type="dcterms:W3CDTF">2024-05-16T00:27:37Z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06D54EF9FA154B80A7FE39EE6A826783_12</vt:lpwstr>
  </property>
</Properties>
</file>